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pos="5715"/>
        </w:tabs>
        <w:spacing w:after="240" w:before="0" w:line="240" w:lineRule="auto"/>
        <w:ind w:left="0" w:right="0" w:firstLine="0"/>
        <w:jc w:val="left"/>
        <w:rPr>
          <w:rFonts w:ascii="Arial Bold" w:cs="Arial Bold" w:eastAsia="Arial Bold" w:hAnsi="Arial Bold"/>
          <w:b w:val="1"/>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02">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pos="5715"/>
        </w:tabs>
        <w:spacing w:after="240" w:before="0" w:line="240" w:lineRule="auto"/>
        <w:ind w:left="0" w:right="0" w:firstLine="0"/>
        <w:jc w:val="left"/>
        <w:rPr>
          <w:rFonts w:ascii="Arial Bold" w:cs="Arial Bold" w:eastAsia="Arial Bold" w:hAnsi="Arial Bold"/>
          <w:b w:val="1"/>
          <w:i w:val="0"/>
          <w:smallCaps w:val="0"/>
          <w:strike w:val="0"/>
          <w:color w:val="000000"/>
          <w:sz w:val="36"/>
          <w:szCs w:val="36"/>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Call-Off Schedule 1 (Transparency Reports)</w:t>
      </w:r>
    </w:p>
    <w:p w:rsidR="00000000" w:rsidDel="00000000" w:rsidP="00000000" w:rsidRDefault="00000000" w:rsidRPr="00000000" w14:paraId="00000003">
      <w:pPr>
        <w:spacing w:after="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1.1 The Supplier recognises that the Buyer is subject to PPN 01/17 (Updates to transparency principles v1.1 (</w:t>
      </w:r>
      <w:hyperlink r:id="rId7">
        <w:r w:rsidDel="00000000" w:rsidR="00000000" w:rsidRPr="00000000">
          <w:rPr>
            <w:rFonts w:ascii="Arial" w:cs="Arial" w:eastAsia="Arial" w:hAnsi="Arial"/>
            <w:color w:val="0000ff"/>
            <w:sz w:val="24"/>
            <w:szCs w:val="24"/>
            <w:u w:val="single"/>
            <w:rtl w:val="0"/>
          </w:rPr>
          <w:t xml:space="preserve">https://www.gov.uk/government/publications/procurement-policy-note-0117-update-to-transparency-principles</w:t>
        </w:r>
      </w:hyperlink>
      <w:r w:rsidDel="00000000" w:rsidR="00000000" w:rsidRPr="00000000">
        <w:rPr>
          <w:rFonts w:ascii="Arial" w:cs="Arial" w:eastAsia="Arial" w:hAnsi="Arial"/>
          <w:color w:val="000000"/>
          <w:sz w:val="24"/>
          <w:szCs w:val="24"/>
          <w:rtl w:val="0"/>
        </w:rPr>
        <w:t xml:space="preserve">). The Supplier shall comply with the provisions of this Schedule in order to assist the Buyer with its compliance with its obligations under that PPN.</w:t>
      </w:r>
    </w:p>
    <w:p w:rsidR="00000000" w:rsidDel="00000000" w:rsidP="00000000" w:rsidRDefault="00000000" w:rsidRPr="00000000" w14:paraId="00000004">
      <w:pPr>
        <w:spacing w:after="0" w:lineRule="auto"/>
        <w:ind w:left="720" w:hanging="72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5">
      <w:pPr>
        <w:spacing w:after="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1.2</w:t>
        <w:tab/>
        <w:t xml:space="preserve">Without prejudice to the Supplier's reporting requirements set out in the Framework Contract, within three (3) Months of the Start Date the Supplier shall submit to the Buyer for Approval (such Approval not to be unreasonably withheld or delayed) draft Transparency Reports consistent with the content requirements and format set out in the Annex of this Schedule.</w:t>
      </w:r>
    </w:p>
    <w:p w:rsidR="00000000" w:rsidDel="00000000" w:rsidP="00000000" w:rsidRDefault="00000000" w:rsidRPr="00000000" w14:paraId="00000006">
      <w:pPr>
        <w:spacing w:after="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7">
      <w:pPr>
        <w:spacing w:after="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1.3 If the Buyer rejects any proposed Transparency Report submitted by the Supplier, the Supplier shall submit a revised version of the relevant report for further Approval within five (5) days of receipt of any notice of rejection, taking account of any recommendations for revision and improvement to the report provided by the Buyer. If the Parties fail to agree on a draft Transparency Report the Buyer shall determine what should be included. Any other disagreement in connection with Transparency Reports shall be treated as a Dispute.</w:t>
      </w:r>
    </w:p>
    <w:p w:rsidR="00000000" w:rsidDel="00000000" w:rsidP="00000000" w:rsidRDefault="00000000" w:rsidRPr="00000000" w14:paraId="00000008">
      <w:pPr>
        <w:spacing w:after="0" w:lineRule="auto"/>
        <w:ind w:left="720" w:hanging="72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9">
      <w:pPr>
        <w:spacing w:after="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1.4 The Supplier shall provide accurate and up-to-date versions of each Transparency Report to the Buyer at the frequency referred to in the Annex of this Schedule.</w:t>
      </w:r>
    </w:p>
    <w:p w:rsidR="00000000" w:rsidDel="00000000" w:rsidP="00000000" w:rsidRDefault="00000000" w:rsidRPr="00000000" w14:paraId="0000000A">
      <w:pPr>
        <w:rPr>
          <w:rFonts w:ascii="Arial" w:cs="Arial" w:eastAsia="Arial" w:hAnsi="Arial"/>
          <w:color w:val="000000"/>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0B">
      <w:pPr>
        <w:spacing w:after="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C">
      <w:pPr>
        <w:spacing w:after="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Bold" w:cs="Arial Bold" w:eastAsia="Arial Bold" w:hAnsi="Arial Bold"/>
          <w:b w:val="1"/>
          <w:i w:val="0"/>
          <w:smallCaps w:val="0"/>
          <w:strike w:val="0"/>
          <w:color w:val="000000"/>
          <w:sz w:val="36"/>
          <w:szCs w:val="36"/>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Annex A: List of Transparency Reports</w:t>
      </w:r>
    </w:p>
    <w:tbl>
      <w:tblPr>
        <w:tblStyle w:val="Table1"/>
        <w:tblW w:w="8992.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943"/>
        <w:gridCol w:w="1553"/>
        <w:gridCol w:w="2248"/>
        <w:gridCol w:w="2248"/>
        <w:tblGridChange w:id="0">
          <w:tblGrid>
            <w:gridCol w:w="2943"/>
            <w:gridCol w:w="1553"/>
            <w:gridCol w:w="2248"/>
            <w:gridCol w:w="2248"/>
          </w:tblGrid>
        </w:tblGridChange>
      </w:tblGrid>
      <w:tr>
        <w:trPr>
          <w:cantSplit w:val="0"/>
          <w:trHeight w:val="123"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E">
            <w:pPr>
              <w:spacing w:after="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Title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F">
            <w:pPr>
              <w:spacing w:after="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Content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0">
            <w:pPr>
              <w:spacing w:after="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Format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1">
            <w:pPr>
              <w:spacing w:after="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Frequency </w:t>
            </w:r>
            <w:r w:rsidDel="00000000" w:rsidR="00000000" w:rsidRPr="00000000">
              <w:rPr>
                <w:rtl w:val="0"/>
              </w:rPr>
            </w:r>
          </w:p>
        </w:tc>
      </w:tr>
      <w:tr>
        <w:trPr>
          <w:cantSplit w:val="0"/>
          <w:trHeight w:val="21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2">
            <w:pPr>
              <w:tabs>
                <w:tab w:val="left" w:pos="3380"/>
              </w:tabs>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[Performance]</w:t>
            </w:r>
            <w:r w:rsidDel="00000000" w:rsidR="00000000" w:rsidRPr="00000000">
              <w:rPr>
                <w:rFonts w:ascii="Arial" w:cs="Arial" w:eastAsia="Arial" w:hAnsi="Arial"/>
                <w:color w:val="000000"/>
                <w:sz w:val="24"/>
                <w:szCs w:val="24"/>
                <w:rtl w:val="0"/>
              </w:rPr>
              <w:tab/>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3">
            <w:pPr>
              <w:spacing w:after="0"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14">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5">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6">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7">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8">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r>
      <w:tr>
        <w:trPr>
          <w:cantSplit w:val="0"/>
          <w:trHeight w:val="15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9">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Contract Charges]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A">
            <w:pPr>
              <w:spacing w:after="0"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1B">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C">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D">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E">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F">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r>
      <w:tr>
        <w:trPr>
          <w:cantSplit w:val="0"/>
          <w:trHeight w:val="15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0">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[Key Subcontractors]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1">
            <w:pPr>
              <w:spacing w:after="0"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22">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3">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4">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5">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6">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r>
      <w:tr>
        <w:trPr>
          <w:cantSplit w:val="0"/>
          <w:trHeight w:val="15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7">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[Technical]</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8">
            <w:pPr>
              <w:spacing w:after="0"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29">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A">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B">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C">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D">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r>
      <w:tr>
        <w:trPr>
          <w:cantSplit w:val="0"/>
          <w:trHeight w:val="21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E">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[Performance management]</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F">
            <w:pPr>
              <w:spacing w:after="0"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30">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1">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2">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3">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4">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r>
    </w:tbl>
    <w:bookmarkStart w:colFirst="0" w:colLast="0" w:name="bookmark=id.gjdgxs" w:id="0"/>
    <w:bookmarkEnd w:id="0"/>
    <w:p w:rsidR="00000000" w:rsidDel="00000000" w:rsidP="00000000" w:rsidRDefault="00000000" w:rsidRPr="00000000" w14:paraId="00000035">
      <w:pPr>
        <w:tabs>
          <w:tab w:val="left" w:pos="1251"/>
        </w:tabs>
        <w:rPr>
          <w:rFonts w:ascii="Arial" w:cs="Arial" w:eastAsia="Arial" w:hAnsi="Arial"/>
          <w:sz w:val="24"/>
          <w:szCs w:val="24"/>
        </w:rPr>
        <w:sectPr>
          <w:headerReference r:id="rId8" w:type="default"/>
          <w:headerReference r:id="rId9" w:type="first"/>
          <w:headerReference r:id="rId10" w:type="even"/>
          <w:footerReference r:id="rId11" w:type="default"/>
          <w:footerReference r:id="rId12" w:type="first"/>
          <w:footerReference r:id="rId13" w:type="even"/>
          <w:pgSz w:h="16838" w:w="11906" w:orient="portrait"/>
          <w:pgMar w:bottom="1440" w:top="1440" w:left="1440" w:right="1440" w:header="709" w:footer="709"/>
          <w:pgNumType w:start="1"/>
        </w:sectPr>
      </w:pPr>
      <w:r w:rsidDel="00000000" w:rsidR="00000000" w:rsidRPr="00000000">
        <w:rPr>
          <w:rtl w:val="0"/>
        </w:rPr>
      </w:r>
    </w:p>
    <w:p w:rsidR="00000000" w:rsidDel="00000000" w:rsidP="00000000" w:rsidRDefault="00000000" w:rsidRPr="00000000" w14:paraId="00000036">
      <w:pPr>
        <w:tabs>
          <w:tab w:val="left" w:pos="1251"/>
        </w:tabs>
        <w:rPr>
          <w:rFonts w:ascii="Arial" w:cs="Arial" w:eastAsia="Arial" w:hAnsi="Arial"/>
          <w:sz w:val="24"/>
          <w:szCs w:val="24"/>
        </w:rPr>
      </w:pPr>
      <w:r w:rsidDel="00000000" w:rsidR="00000000" w:rsidRPr="00000000">
        <w:rPr>
          <w:rtl w:val="0"/>
        </w:rPr>
      </w:r>
    </w:p>
    <w:sectPr>
      <w:type w:val="nextPage"/>
      <w:pgSz w:h="16838" w:w="11906" w:orient="portrait"/>
      <w:pgMar w:bottom="1440" w:top="1440"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2">
    <w:pPr>
      <w:tabs>
        <w:tab w:val="center" w:pos="4513"/>
        <w:tab w:val="right"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043">
    <w:pPr>
      <w:tabs>
        <w:tab w:val="center" w:pos="4513"/>
        <w:tab w:val="right" w:pos="9026"/>
      </w:tabs>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Framework Ref: RM</w:t>
      <w:tab/>
      <w:t xml:space="preserve">                                           </w:t>
    </w:r>
  </w:p>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Project Version: v1.0</w:t>
      <w:tab/>
      <w:tab/>
      <w:tab/>
      <w:t xml:space="preserve"> </w:t>
    </w:r>
    <w:r w:rsidDel="00000000" w:rsidR="00000000" w:rsidRPr="00000000">
      <w:rPr>
        <w:rFonts w:ascii="Arial" w:cs="Arial" w:eastAsia="Arial" w:hAnsi="Arial"/>
        <w:b w:val="0"/>
        <w:i w:val="0"/>
        <w:smallCaps w:val="0"/>
        <w:strike w:val="0"/>
        <w:color w:val="a6a6a6"/>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5">
    <w:pPr>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Model Version: v3.0</w:t>
      <w:tab/>
      <w:tab/>
      <w:tab/>
      <w:tab/>
      <w:tab/>
      <w:tab/>
      <w:tab/>
      <w:tab/>
      <w:tab/>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6">
    <w:pPr>
      <w:tabs>
        <w:tab w:val="center" w:pos="4513"/>
        <w:tab w:val="right"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047">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RM6278</w:t>
      <w:tab/>
      <w:t xml:space="preserve">                                           </w:t>
    </w:r>
  </w:p>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9">
    <w:pPr>
      <w:spacing w:after="0" w:lineRule="auto"/>
      <w:rPr>
        <w:rFonts w:ascii="Arial" w:cs="Arial" w:eastAsia="Arial" w:hAnsi="Arial"/>
        <w:color w:val="a6a6a6"/>
        <w:sz w:val="20"/>
        <w:szCs w:val="20"/>
      </w:rPr>
    </w:pPr>
    <w:r w:rsidDel="00000000" w:rsidR="00000000" w:rsidRPr="00000000">
      <w:rPr>
        <w:rFonts w:ascii="Arial" w:cs="Arial" w:eastAsia="Arial" w:hAnsi="Arial"/>
        <w:sz w:val="20"/>
        <w:szCs w:val="20"/>
        <w:rtl w:val="0"/>
      </w:rPr>
      <w:t xml:space="preserve">Model Version: v3.0</w:t>
      <w:tab/>
    </w:r>
    <w:r w:rsidDel="00000000" w:rsidR="00000000" w:rsidRPr="00000000">
      <w:rPr>
        <w:rFonts w:ascii="Arial" w:cs="Arial" w:eastAsia="Arial" w:hAnsi="Arial"/>
        <w:color w:val="a6a6a6"/>
        <w:sz w:val="20"/>
        <w:szCs w:val="20"/>
        <w:rtl w:val="0"/>
      </w:rPr>
      <w:tab/>
      <w:tab/>
      <w:tab/>
      <w:tab/>
      <w:tab/>
      <w:tab/>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Call-Off Schedule 1 (Transparency Reports)</w:t>
    </w:r>
    <w:r w:rsidDel="00000000" w:rsidR="00000000" w:rsidRPr="00000000">
      <w:rPr>
        <w:rtl w:val="0"/>
      </w:rPr>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 </w:t>
    </w:r>
    <w:r w:rsidDel="00000000" w:rsidR="00000000" w:rsidRPr="00000000">
      <w:rPr>
        <w:rtl w:val="0"/>
      </w:rPr>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Crown Copyright</w:t>
    </w: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 </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2018</w:t>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1 (Transparency Reports)</w:t>
    </w:r>
    <w:r w:rsidDel="00000000" w:rsidR="00000000" w:rsidRPr="00000000">
      <w:rPr>
        <w:rtl w:val="0"/>
      </w:rPr>
    </w:r>
  </w:p>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 </w:t>
    </w:r>
  </w:p>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w:t>
    </w:r>
  </w:p>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1"/>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SchTitleandNumber" w:customStyle="1">
    <w:name w:val="GPS Sch Title and Number"/>
    <w:basedOn w:val="Normal"/>
    <w:link w:val="GPSSchTitleandNumberChar"/>
    <w:qFormat w:val="1"/>
    <w:pPr>
      <w:keepNext w:val="1"/>
      <w:adjustRightInd w:val="0"/>
      <w:spacing w:after="240" w:line="240" w:lineRule="auto"/>
      <w:jc w:val="center"/>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TSOLScheduleAnnexName" w:customStyle="1">
    <w:name w:val="TSOL Schedule Annex Name"/>
    <w:qFormat w:val="1"/>
    <w:pPr>
      <w:spacing w:after="240" w:line="240" w:lineRule="auto"/>
      <w:jc w:val="center"/>
      <w:outlineLvl w:val="1"/>
    </w:pPr>
    <w:rPr>
      <w:rFonts w:ascii="Calibri" w:cs="Arial" w:eastAsia="STZhongsong" w:hAnsi="Calibri"/>
      <w:b w:val="1"/>
      <w:caps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paragraph" w:styleId="Normal1" w:customStyle="1">
    <w:name w:val="Normal1"/>
    <w:pPr>
      <w:widowControl w:val="0"/>
      <w:spacing w:after="80" w:line="240" w:lineRule="auto"/>
    </w:pPr>
    <w:rPr>
      <w:rFonts w:ascii="Calibri" w:cs="Calibri" w:eastAsia="Calibri" w:hAnsi="Calibri"/>
      <w:color w:val="000000"/>
    </w:rPr>
  </w:style>
  <w:style w:type="table" w:styleId="TableGrid">
    <w:name w:val="Table Grid"/>
    <w:basedOn w:val="TableNormal"/>
    <w:uiPriority w:val="59"/>
    <w:pPr>
      <w:spacing w:after="0" w:line="240" w:lineRule="auto"/>
    </w:pPr>
    <w:rPr>
      <w:rFonts w:ascii="Calibri" w:cs="Times New Roman" w:eastAsia="Calibri" w:hAnsi="Calibri"/>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yperlink">
    <w:name w:val="Hyperlink"/>
    <w:basedOn w:val="DefaultParagraphFont"/>
    <w:uiPriority w:val="99"/>
    <w:unhideWhenUsed w:val="1"/>
    <w:rPr>
      <w:color w:val="0000ff" w:themeColor="hyperlink"/>
      <w:u w:val="single"/>
    </w:rPr>
  </w:style>
  <w:style w:type="character" w:styleId="FollowedHyperlink">
    <w:name w:val="FollowedHyperlink"/>
    <w:basedOn w:val="DefaultParagraphFont"/>
    <w:uiPriority w:val="99"/>
    <w:semiHidden w:val="1"/>
    <w:unhideWhenUsed w:val="1"/>
    <w:rPr>
      <w:color w:val="800080" w:themeColor="followedHyperlink"/>
      <w:u w:val="single"/>
    </w:rPr>
  </w:style>
  <w:style w:type="paragraph" w:styleId="GPSL2Numbered" w:customStyle="1">
    <w:name w:val="GPS L2 Numbered"/>
    <w:basedOn w:val="Normal"/>
    <w:link w:val="GPSL2NumberedChar"/>
    <w:qFormat w:val="1"/>
    <w:pPr>
      <w:tabs>
        <w:tab w:val="left" w:pos="709"/>
        <w:tab w:val="left" w:pos="1134"/>
      </w:tabs>
      <w:adjustRightInd w:val="0"/>
      <w:spacing w:after="120" w:before="120" w:line="240" w:lineRule="auto"/>
      <w:jc w:val="both"/>
    </w:pPr>
    <w:rPr>
      <w:rFonts w:ascii="Calibri" w:cs="Arial" w:eastAsia="Times New Roman" w:hAnsi="Calibri"/>
      <w:lang w:eastAsia="zh-CN"/>
    </w:rPr>
  </w:style>
  <w:style w:type="character" w:styleId="GPSL2NumberedChar" w:customStyle="1">
    <w:name w:val="GPS L2 Numbered Char"/>
    <w:link w:val="GPSL2Numbered"/>
    <w:locked w:val="1"/>
    <w:rPr>
      <w:rFonts w:ascii="Calibri" w:cs="Arial" w:eastAsia="Times New Roman" w:hAnsi="Calibri"/>
      <w:lang w:eastAsia="zh-CN"/>
    </w:rPr>
  </w:style>
  <w:style w:type="paragraph" w:styleId="Revision">
    <w:name w:val="Revision"/>
    <w:hidden w:val="1"/>
    <w:uiPriority w:val="99"/>
    <w:semiHidden w:val="1"/>
    <w:rsid w:val="00F42B75"/>
    <w:pPr>
      <w:spacing w:after="0" w:line="240" w:lineRule="auto"/>
    </w:p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1" Type="http://schemas.openxmlformats.org/officeDocument/2006/relationships/footer" Target="footer3.xml"/><Relationship Id="rId10" Type="http://schemas.openxmlformats.org/officeDocument/2006/relationships/header" Target="header2.xml"/><Relationship Id="rId13" Type="http://schemas.openxmlformats.org/officeDocument/2006/relationships/footer" Target="footer1.xml"/><Relationship Id="rId12" Type="http://schemas.openxmlformats.org/officeDocument/2006/relationships/footer" Target="footer2.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overnment/publications/procurement-policy-note-0117-update-to-transparency-principles" TargetMode="Externa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iqs7QPFXb3QPVtKPrIO9cZ7hk0Q==">AMUW2mX0qjgkSPnM3Cpx35WCIkSjoHZltnfg4UqiF4e5nH/OHjkNuzOTjKrH8V57BqIyseCDCWogUNjpoZC6QrYraTVKQjJoymdEIaP48uo5/RkUtpDSJ8Du2AFMVnzCanDMuUFUi32CzUeNfC2hm75c4TWKZHERrw==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2018-06-18T12:33:00Z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